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E4" w:rsidRDefault="00A439E4" w:rsidP="00D333F3">
      <w:pPr>
        <w:pStyle w:val="3"/>
        <w:spacing w:before="0"/>
        <w:rPr>
          <w:rFonts w:ascii="Times New Roman" w:hAnsi="Times New Roman" w:cs="Times New Roman"/>
          <w:sz w:val="20"/>
          <w:szCs w:val="20"/>
          <w:lang w:val="uk-UA"/>
        </w:rPr>
      </w:pPr>
      <w:r w:rsidRPr="00A439E4">
        <w:rPr>
          <w:rFonts w:ascii="Times New Roman" w:hAnsi="Times New Roman" w:cs="Times New Roman"/>
          <w:sz w:val="20"/>
          <w:szCs w:val="20"/>
          <w:lang w:val="uk-UA"/>
        </w:rPr>
        <w:t>//</w:t>
      </w:r>
      <w:proofErr w:type="spellStart"/>
      <w:r w:rsidRPr="00A439E4">
        <w:rPr>
          <w:rFonts w:ascii="Times New Roman" w:hAnsi="Times New Roman" w:cs="Times New Roman"/>
          <w:sz w:val="20"/>
          <w:szCs w:val="20"/>
          <w:lang w:val="uk-UA"/>
        </w:rPr>
        <w:t>stockmarket.gov.ua</w:t>
      </w:r>
      <w:proofErr w:type="spellEnd"/>
      <w:r w:rsidRPr="00A439E4">
        <w:rPr>
          <w:rFonts w:ascii="Times New Roman" w:hAnsi="Times New Roman" w:cs="Times New Roman"/>
          <w:sz w:val="20"/>
          <w:szCs w:val="20"/>
          <w:lang w:val="uk-UA"/>
        </w:rPr>
        <w:t>/</w:t>
      </w:r>
      <w:proofErr w:type="spellStart"/>
      <w:r w:rsidRPr="00A439E4">
        <w:rPr>
          <w:rFonts w:ascii="Times New Roman" w:hAnsi="Times New Roman" w:cs="Times New Roman"/>
          <w:sz w:val="20"/>
          <w:szCs w:val="20"/>
          <w:lang w:val="uk-UA"/>
        </w:rPr>
        <w:t>db</w:t>
      </w:r>
      <w:proofErr w:type="spellEnd"/>
      <w:r w:rsidRPr="00A439E4">
        <w:rPr>
          <w:rFonts w:ascii="Times New Roman" w:hAnsi="Times New Roman" w:cs="Times New Roman"/>
          <w:sz w:val="20"/>
          <w:szCs w:val="20"/>
          <w:lang w:val="uk-UA"/>
        </w:rPr>
        <w:t>/</w:t>
      </w:r>
      <w:proofErr w:type="spellStart"/>
      <w:r w:rsidRPr="00A439E4">
        <w:rPr>
          <w:rFonts w:ascii="Times New Roman" w:hAnsi="Times New Roman" w:cs="Times New Roman"/>
          <w:sz w:val="20"/>
          <w:szCs w:val="20"/>
          <w:lang w:val="uk-UA"/>
        </w:rPr>
        <w:t>xml</w:t>
      </w:r>
      <w:proofErr w:type="spellEnd"/>
      <w:r w:rsidRPr="00A439E4">
        <w:rPr>
          <w:rFonts w:ascii="Times New Roman" w:hAnsi="Times New Roman" w:cs="Times New Roman"/>
          <w:sz w:val="20"/>
          <w:szCs w:val="20"/>
          <w:lang w:val="uk-UA"/>
        </w:rPr>
        <w:t>/</w:t>
      </w:r>
      <w:proofErr w:type="spellStart"/>
      <w:r w:rsidRPr="00A439E4">
        <w:rPr>
          <w:rFonts w:ascii="Times New Roman" w:hAnsi="Times New Roman" w:cs="Times New Roman"/>
          <w:sz w:val="20"/>
          <w:szCs w:val="20"/>
          <w:lang w:val="uk-UA"/>
        </w:rPr>
        <w:t>news</w:t>
      </w:r>
      <w:proofErr w:type="spellEnd"/>
      <w:r w:rsidRPr="00A439E4">
        <w:rPr>
          <w:rFonts w:ascii="Times New Roman" w:hAnsi="Times New Roman" w:cs="Times New Roman"/>
          <w:sz w:val="20"/>
          <w:szCs w:val="20"/>
          <w:lang w:val="uk-UA"/>
        </w:rPr>
        <w:t>/119834/</w:t>
      </w:r>
      <w:proofErr w:type="spellStart"/>
      <w:r w:rsidRPr="00A439E4">
        <w:rPr>
          <w:rFonts w:ascii="Times New Roman" w:hAnsi="Times New Roman" w:cs="Times New Roman"/>
          <w:sz w:val="20"/>
          <w:szCs w:val="20"/>
          <w:lang w:val="uk-UA"/>
        </w:rPr>
        <w:t>show</w:t>
      </w:r>
      <w:proofErr w:type="spellEnd"/>
    </w:p>
    <w:p w:rsidR="00A439E4" w:rsidRPr="00A439E4" w:rsidRDefault="00A439E4" w:rsidP="00A439E4">
      <w:pPr>
        <w:rPr>
          <w:b/>
          <w:lang w:val="uk-UA"/>
        </w:rPr>
      </w:pPr>
      <w:r w:rsidRPr="00A439E4">
        <w:rPr>
          <w:b/>
          <w:lang w:val="uk-UA"/>
        </w:rPr>
        <w:t>Особлива інформація «Відомості про зміну складу посадових осіб емітента»</w:t>
      </w:r>
    </w:p>
    <w:p w:rsidR="00D333F3" w:rsidRPr="00D333F3" w:rsidRDefault="00D333F3" w:rsidP="00D333F3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  <w:proofErr w:type="spellStart"/>
      <w:r w:rsidRPr="00D333F3">
        <w:rPr>
          <w:rFonts w:ascii="Times New Roman" w:hAnsi="Times New Roman" w:cs="Times New Roman"/>
          <w:sz w:val="20"/>
          <w:szCs w:val="20"/>
        </w:rPr>
        <w:t>Титульний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аркуш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Повідомлення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Повідомлення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інформацію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110"/>
        <w:gridCol w:w="761"/>
        <w:gridCol w:w="110"/>
        <w:gridCol w:w="3225"/>
      </w:tblGrid>
      <w:tr w:rsidR="00D333F3" w:rsidRPr="00D333F3" w:rsidTr="00D333F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ідтверджую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ідентичність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електронної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паперової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форм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подається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Комісії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та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достовірність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наданої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розкриття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загальнодоступній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інформаційній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базі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Комісії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Голова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правл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  <w:bookmarkStart w:id="0" w:name="_GoBack"/>
        <w:bookmarkEnd w:id="0"/>
      </w:tr>
      <w:tr w:rsidR="00D333F3" w:rsidRPr="00D333F3" w:rsidTr="00D333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(посада)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ідпис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ізвище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ініціали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керівника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13.06.2018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D333F3" w:rsidRPr="00D333F3" w:rsidRDefault="00D333F3" w:rsidP="00D333F3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Особлива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інформація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емітента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7031"/>
      </w:tblGrid>
      <w:tr w:rsidR="00D333F3" w:rsidRPr="00D333F3" w:rsidTr="00D33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Загальні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відомості</w:t>
            </w:r>
            <w:proofErr w:type="spellEnd"/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Повне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i/>
                <w:iCs/>
                <w:sz w:val="20"/>
                <w:szCs w:val="20"/>
              </w:rPr>
              <w:t>ПУБЛ</w:t>
            </w:r>
            <w:proofErr w:type="gramStart"/>
            <w:r w:rsidRPr="00D333F3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i/>
                <w:iCs/>
                <w:sz w:val="20"/>
                <w:szCs w:val="20"/>
              </w:rPr>
              <w:t>ЧНЕ АКЦIОНЕРНЕ ТОВАРИСТВО "ХАРКIВСЬКИЙ МАШИНОБУДIВНИЙ ЗАВОД "СВIТЛО ШАХТАРЯ"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Організаційно-правова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форма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Публічне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акціонерне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товариство</w:t>
            </w:r>
            <w:proofErr w:type="spellEnd"/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61001 м.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Харк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тло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шахтаря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>, буд. 4/6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4. Код за ЄДРПОУ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00165712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Міжміський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код та телефон, факс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(057)733-30-58 731-50-66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Електронна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поштова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47F098" wp14:editId="6EE60248">
                  <wp:extent cx="2000250" cy="142875"/>
                  <wp:effectExtent l="0" t="0" r="0" b="9525"/>
                  <wp:docPr id="1" name="Рисунок 1" descr="https://stockmarket.gov.ua/generatedImg/00165712/newsxml119834/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ockmarket.gov.ua/generatedImg/00165712/newsxml119834/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7. Вид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особливої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Відомості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зміну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складу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посадових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емітента</w:t>
            </w:r>
            <w:proofErr w:type="spellEnd"/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3F3" w:rsidRPr="00D333F3" w:rsidRDefault="00D333F3" w:rsidP="00D333F3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2786"/>
        <w:gridCol w:w="2312"/>
        <w:gridCol w:w="996"/>
      </w:tblGrid>
      <w:tr w:rsidR="00D333F3" w:rsidRPr="00D333F3" w:rsidTr="00D333F3">
        <w:trPr>
          <w:tblCellSpacing w:w="15" w:type="dxa"/>
        </w:trPr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proofErr w:type="gram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Дан</w:t>
            </w:r>
            <w:proofErr w:type="gram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 дату та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місце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оприлюднення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Повідомлення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Повідомлення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інформацію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Повідомлення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розміщено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загальнодоступній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інформаційній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базі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Комі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ії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13.06.2018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Повідомлення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112(2865)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Бюлетень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домостi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НКЦПФР"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14.06.2018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опубліковано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(номер та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офіційного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друкованого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видання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Повідомлення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розміщено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сторінці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www.shaht.kharkov.ua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Інтернет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13.06.2018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 xml:space="preserve">(адреса </w:t>
            </w:r>
            <w:proofErr w:type="spellStart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D333F3" w:rsidRPr="00D333F3" w:rsidRDefault="00D333F3" w:rsidP="00D333F3">
            <w:pPr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Style w:val="small-text"/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D333F3" w:rsidRPr="00D333F3" w:rsidRDefault="00D333F3" w:rsidP="00D333F3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  <w:proofErr w:type="spellStart"/>
      <w:r w:rsidRPr="00D333F3">
        <w:rPr>
          <w:rFonts w:ascii="Times New Roman" w:hAnsi="Times New Roman" w:cs="Times New Roman"/>
          <w:sz w:val="20"/>
          <w:szCs w:val="20"/>
        </w:rPr>
        <w:lastRenderedPageBreak/>
        <w:t>Відомості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зміну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складу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посадових</w:t>
      </w:r>
      <w:proofErr w:type="spell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333F3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proofErr w:type="gramEnd"/>
      <w:r w:rsidRPr="00D333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3F3">
        <w:rPr>
          <w:rFonts w:ascii="Times New Roman" w:hAnsi="Times New Roman" w:cs="Times New Roman"/>
          <w:sz w:val="20"/>
          <w:szCs w:val="20"/>
        </w:rPr>
        <w:t>емітента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78"/>
        <w:gridCol w:w="1032"/>
        <w:gridCol w:w="1760"/>
        <w:gridCol w:w="3687"/>
        <w:gridCol w:w="1110"/>
      </w:tblGrid>
      <w:tr w:rsidR="00D333F3" w:rsidRPr="00D333F3" w:rsidTr="00D333F3">
        <w:trPr>
          <w:tblHeader/>
          <w:tblCellSpacing w:w="15" w:type="dxa"/>
        </w:trPr>
        <w:tc>
          <w:tcPr>
            <w:tcW w:w="25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вчинення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дії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Зміни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призначено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або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звільнено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100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ізвище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ім'я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по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батькові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фізичної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або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повне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юридичної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Паспортні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дані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фізичної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або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код за ЄДРПОУ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юридичної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500" w:type="pct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Володіє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часткою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gram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статутному</w:t>
            </w:r>
            <w:proofErr w:type="gram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капіталі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емітента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відсотках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333F3" w:rsidRPr="00D333F3" w:rsidTr="00D333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12.06.2018 </w:t>
            </w:r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 xml:space="preserve">Голова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Наглядової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Сахарук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Дмитро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сер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№ 027208</w:t>
            </w:r>
            <w:r w:rsidRPr="00D333F3">
              <w:rPr>
                <w:rFonts w:ascii="Times New Roman" w:hAnsi="Times New Roman"/>
                <w:sz w:val="20"/>
                <w:szCs w:val="20"/>
              </w:rPr>
              <w:br/>
              <w:t xml:space="preserve">02.09.1995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Токмацький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РВ УМВС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Запорiзькiй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областi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3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333F3" w:rsidRPr="00D333F3" w:rsidRDefault="00D333F3" w:rsidP="00D333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Змі</w:t>
            </w:r>
            <w:proofErr w:type="gram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D333F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333F3" w:rsidRPr="00D333F3" w:rsidTr="00D333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333F3" w:rsidRPr="00D333F3" w:rsidRDefault="00D333F3" w:rsidP="00D333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Згiдно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рiшення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Наглядової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ради ПАТ «СВIТЛО ШАХТАРЯ»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вiд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12.06.2018 р. (Протокол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засiдання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Наглядової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ради ПАТ «СВIТЛО ШАХТАРЯ»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вiд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12.06.2018 р.), з числа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членiв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Наглядової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обрано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Голову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Наглядової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Сахарука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Дмитра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Володимировича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(Паспорт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серiї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СА № 027208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виданий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02.09.1995 р.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Токмацьким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РВ УМВС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Запорiзькiй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областi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представника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акцiонера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DTEK ENERGY B.V.,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Нiдерланди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(з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обмеженням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повноважень</w:t>
            </w:r>
            <w:proofErr w:type="spellEnd"/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сцезнаходження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Strawinskylaan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1531, буд.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Tower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B,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15, оф.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Grid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TB-15-046/089,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Amsterdam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Netherlands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1077XX, </w:t>
            </w:r>
            <w:proofErr w:type="spellStart"/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дентифiкацiйний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код з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торговельного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судового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банкiвського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країни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де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офiцiйно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зареєстрований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iноземний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суб'єкт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господарської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дiяльностi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– 34334895.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Посадова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особа не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волод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>є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акцiями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емiтента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не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має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непогашеної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судимостi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корисливi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посадовi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злочини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Термiн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який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обрано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посадову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особу – з 12.06.2018 р. до моменту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прийняття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рiшення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припинення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повноважень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особи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Загальними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зборами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акцiонерiв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до моменту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вiдкликання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особи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акцiонером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Товариства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DTEK ENERGY B.V.,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iнтереси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якого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вiн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представляє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Iншi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посади,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якi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обiймала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особа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останнiх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п'яти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рокiв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- 05.2011 - 08.2014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- Директор з правового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«ДТЕК» (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пiсля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перейменування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– ТОВ «ДТЕК ЕНЕРГО»); 08.2014 – 10.2017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Виконавчий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proofErr w:type="gramStart"/>
            <w:r w:rsidRPr="00D333F3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gram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«ДТЕК ЕНЕРГО»; з 28.10. 2016 р. по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теперiшнiй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час – </w:t>
            </w:r>
            <w:proofErr w:type="spellStart"/>
            <w:r w:rsidRPr="00D333F3">
              <w:rPr>
                <w:rFonts w:ascii="Times New Roman" w:hAnsi="Times New Roman"/>
                <w:sz w:val="20"/>
                <w:szCs w:val="20"/>
              </w:rPr>
              <w:t>Генеральний</w:t>
            </w:r>
            <w:proofErr w:type="spellEnd"/>
            <w:r w:rsidRPr="00D333F3">
              <w:rPr>
                <w:rFonts w:ascii="Times New Roman" w:hAnsi="Times New Roman"/>
                <w:sz w:val="20"/>
                <w:szCs w:val="20"/>
              </w:rPr>
              <w:t xml:space="preserve"> директор ТОВ «ДТЕК ЕНЕРГО». </w:t>
            </w:r>
          </w:p>
        </w:tc>
      </w:tr>
    </w:tbl>
    <w:p w:rsidR="003D469A" w:rsidRPr="00D333F3" w:rsidRDefault="003D469A" w:rsidP="00D333F3">
      <w:pPr>
        <w:rPr>
          <w:rFonts w:ascii="Times New Roman" w:hAnsi="Times New Roman"/>
          <w:sz w:val="20"/>
          <w:szCs w:val="20"/>
        </w:rPr>
      </w:pPr>
    </w:p>
    <w:sectPr w:rsidR="003D469A" w:rsidRPr="00D333F3" w:rsidSect="00A63180"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C3" w:rsidRDefault="00780BC3" w:rsidP="00904A24">
      <w:pPr>
        <w:spacing w:after="0" w:line="240" w:lineRule="auto"/>
      </w:pPr>
      <w:r>
        <w:separator/>
      </w:r>
    </w:p>
  </w:endnote>
  <w:endnote w:type="continuationSeparator" w:id="0">
    <w:p w:rsidR="00780BC3" w:rsidRDefault="00780BC3" w:rsidP="0090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C3" w:rsidRDefault="00780BC3" w:rsidP="00904A24">
      <w:pPr>
        <w:spacing w:after="0" w:line="240" w:lineRule="auto"/>
      </w:pPr>
      <w:r>
        <w:separator/>
      </w:r>
    </w:p>
  </w:footnote>
  <w:footnote w:type="continuationSeparator" w:id="0">
    <w:p w:rsidR="00780BC3" w:rsidRDefault="00780BC3" w:rsidP="0090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64B3F"/>
    <w:multiLevelType w:val="hybridMultilevel"/>
    <w:tmpl w:val="ECD70F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533B8"/>
    <w:multiLevelType w:val="multilevel"/>
    <w:tmpl w:val="C376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56100"/>
    <w:multiLevelType w:val="multilevel"/>
    <w:tmpl w:val="356A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13814"/>
    <w:multiLevelType w:val="multilevel"/>
    <w:tmpl w:val="2944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5"/>
    <w:rsid w:val="00012332"/>
    <w:rsid w:val="00013100"/>
    <w:rsid w:val="0001395A"/>
    <w:rsid w:val="00015E2A"/>
    <w:rsid w:val="000201C6"/>
    <w:rsid w:val="00023175"/>
    <w:rsid w:val="000247EF"/>
    <w:rsid w:val="00042AA0"/>
    <w:rsid w:val="000704F9"/>
    <w:rsid w:val="00071804"/>
    <w:rsid w:val="00071B11"/>
    <w:rsid w:val="000847F5"/>
    <w:rsid w:val="00097C53"/>
    <w:rsid w:val="000C100E"/>
    <w:rsid w:val="000C7A0F"/>
    <w:rsid w:val="000F4E56"/>
    <w:rsid w:val="0010624B"/>
    <w:rsid w:val="00125CA7"/>
    <w:rsid w:val="0012674B"/>
    <w:rsid w:val="00145E13"/>
    <w:rsid w:val="0016003F"/>
    <w:rsid w:val="00182896"/>
    <w:rsid w:val="001C6490"/>
    <w:rsid w:val="001E3D53"/>
    <w:rsid w:val="001E4C10"/>
    <w:rsid w:val="00202963"/>
    <w:rsid w:val="00205843"/>
    <w:rsid w:val="00213760"/>
    <w:rsid w:val="002144E1"/>
    <w:rsid w:val="0022063C"/>
    <w:rsid w:val="0022380E"/>
    <w:rsid w:val="00223B67"/>
    <w:rsid w:val="00244D62"/>
    <w:rsid w:val="00245757"/>
    <w:rsid w:val="00252CFF"/>
    <w:rsid w:val="002639EB"/>
    <w:rsid w:val="002673D0"/>
    <w:rsid w:val="00273CB3"/>
    <w:rsid w:val="0027629C"/>
    <w:rsid w:val="002933FC"/>
    <w:rsid w:val="00297F8E"/>
    <w:rsid w:val="002B0457"/>
    <w:rsid w:val="002B3BCD"/>
    <w:rsid w:val="002B6586"/>
    <w:rsid w:val="002D2902"/>
    <w:rsid w:val="002D6950"/>
    <w:rsid w:val="002D7A1A"/>
    <w:rsid w:val="003059D9"/>
    <w:rsid w:val="003234CF"/>
    <w:rsid w:val="0034771F"/>
    <w:rsid w:val="00350F01"/>
    <w:rsid w:val="00352BDD"/>
    <w:rsid w:val="00365378"/>
    <w:rsid w:val="003818A0"/>
    <w:rsid w:val="003A33EB"/>
    <w:rsid w:val="003B0B79"/>
    <w:rsid w:val="003C0D3C"/>
    <w:rsid w:val="003C1761"/>
    <w:rsid w:val="003C285C"/>
    <w:rsid w:val="003D469A"/>
    <w:rsid w:val="003D66D1"/>
    <w:rsid w:val="003E3F43"/>
    <w:rsid w:val="003F1C45"/>
    <w:rsid w:val="003F2C9C"/>
    <w:rsid w:val="00413D85"/>
    <w:rsid w:val="00443F58"/>
    <w:rsid w:val="004639BA"/>
    <w:rsid w:val="00465C94"/>
    <w:rsid w:val="004771B7"/>
    <w:rsid w:val="00485F02"/>
    <w:rsid w:val="004A4AF7"/>
    <w:rsid w:val="004B280F"/>
    <w:rsid w:val="004E63C4"/>
    <w:rsid w:val="004E7B7E"/>
    <w:rsid w:val="004F3C6A"/>
    <w:rsid w:val="004F5885"/>
    <w:rsid w:val="005217EF"/>
    <w:rsid w:val="00537597"/>
    <w:rsid w:val="005422FA"/>
    <w:rsid w:val="005537AE"/>
    <w:rsid w:val="00572D66"/>
    <w:rsid w:val="005867DC"/>
    <w:rsid w:val="005A123D"/>
    <w:rsid w:val="005D420E"/>
    <w:rsid w:val="005F68DC"/>
    <w:rsid w:val="006234AC"/>
    <w:rsid w:val="00625DD6"/>
    <w:rsid w:val="00637FFE"/>
    <w:rsid w:val="00640A41"/>
    <w:rsid w:val="006836F6"/>
    <w:rsid w:val="00683ED7"/>
    <w:rsid w:val="00693BFB"/>
    <w:rsid w:val="006A1FB3"/>
    <w:rsid w:val="006B52C5"/>
    <w:rsid w:val="006B6003"/>
    <w:rsid w:val="0072566D"/>
    <w:rsid w:val="00730534"/>
    <w:rsid w:val="007649D0"/>
    <w:rsid w:val="00780BC3"/>
    <w:rsid w:val="00793E3F"/>
    <w:rsid w:val="007B69F3"/>
    <w:rsid w:val="007D2EA0"/>
    <w:rsid w:val="007F6E3D"/>
    <w:rsid w:val="00806CF2"/>
    <w:rsid w:val="00810384"/>
    <w:rsid w:val="0081334C"/>
    <w:rsid w:val="0081397C"/>
    <w:rsid w:val="0083536D"/>
    <w:rsid w:val="00840326"/>
    <w:rsid w:val="00852978"/>
    <w:rsid w:val="00864BB3"/>
    <w:rsid w:val="00867A86"/>
    <w:rsid w:val="00891133"/>
    <w:rsid w:val="008D2174"/>
    <w:rsid w:val="008E3AE1"/>
    <w:rsid w:val="008E6003"/>
    <w:rsid w:val="008F10DF"/>
    <w:rsid w:val="00904A24"/>
    <w:rsid w:val="009166DE"/>
    <w:rsid w:val="00941180"/>
    <w:rsid w:val="00955463"/>
    <w:rsid w:val="0096284C"/>
    <w:rsid w:val="009804BC"/>
    <w:rsid w:val="009B23CF"/>
    <w:rsid w:val="009B2B91"/>
    <w:rsid w:val="009B2D9A"/>
    <w:rsid w:val="009B4FA8"/>
    <w:rsid w:val="009C0EF1"/>
    <w:rsid w:val="009C647C"/>
    <w:rsid w:val="009C6D3D"/>
    <w:rsid w:val="009E6BCC"/>
    <w:rsid w:val="00A03CBD"/>
    <w:rsid w:val="00A05352"/>
    <w:rsid w:val="00A27B93"/>
    <w:rsid w:val="00A439E4"/>
    <w:rsid w:val="00A60BD5"/>
    <w:rsid w:val="00A60CB1"/>
    <w:rsid w:val="00A63180"/>
    <w:rsid w:val="00A65D1A"/>
    <w:rsid w:val="00A80816"/>
    <w:rsid w:val="00A81E29"/>
    <w:rsid w:val="00A820A4"/>
    <w:rsid w:val="00A8796C"/>
    <w:rsid w:val="00AA1EE8"/>
    <w:rsid w:val="00AB159C"/>
    <w:rsid w:val="00AF488A"/>
    <w:rsid w:val="00B10720"/>
    <w:rsid w:val="00B10753"/>
    <w:rsid w:val="00B16EFA"/>
    <w:rsid w:val="00B2077F"/>
    <w:rsid w:val="00B2462E"/>
    <w:rsid w:val="00B60B65"/>
    <w:rsid w:val="00B841A0"/>
    <w:rsid w:val="00B943FF"/>
    <w:rsid w:val="00BB033D"/>
    <w:rsid w:val="00BD1EB4"/>
    <w:rsid w:val="00C1524D"/>
    <w:rsid w:val="00C25C0E"/>
    <w:rsid w:val="00C26287"/>
    <w:rsid w:val="00C27FCD"/>
    <w:rsid w:val="00C27FE3"/>
    <w:rsid w:val="00C457F3"/>
    <w:rsid w:val="00C63D24"/>
    <w:rsid w:val="00C94576"/>
    <w:rsid w:val="00C95DB5"/>
    <w:rsid w:val="00C969CF"/>
    <w:rsid w:val="00CB0EE8"/>
    <w:rsid w:val="00CC16BA"/>
    <w:rsid w:val="00CD386E"/>
    <w:rsid w:val="00CF6A7F"/>
    <w:rsid w:val="00D00B4A"/>
    <w:rsid w:val="00D1045D"/>
    <w:rsid w:val="00D141D8"/>
    <w:rsid w:val="00D333F3"/>
    <w:rsid w:val="00D423FC"/>
    <w:rsid w:val="00D51800"/>
    <w:rsid w:val="00D60EAC"/>
    <w:rsid w:val="00D65321"/>
    <w:rsid w:val="00D72483"/>
    <w:rsid w:val="00D86367"/>
    <w:rsid w:val="00D9360A"/>
    <w:rsid w:val="00DA6EC5"/>
    <w:rsid w:val="00DC68A8"/>
    <w:rsid w:val="00DE3471"/>
    <w:rsid w:val="00E10BD8"/>
    <w:rsid w:val="00E321E0"/>
    <w:rsid w:val="00E52A13"/>
    <w:rsid w:val="00E63E31"/>
    <w:rsid w:val="00E64949"/>
    <w:rsid w:val="00E80584"/>
    <w:rsid w:val="00EA308B"/>
    <w:rsid w:val="00EA35E2"/>
    <w:rsid w:val="00EC0E14"/>
    <w:rsid w:val="00EC43D4"/>
    <w:rsid w:val="00EC600D"/>
    <w:rsid w:val="00ED72F8"/>
    <w:rsid w:val="00EF1333"/>
    <w:rsid w:val="00F058C9"/>
    <w:rsid w:val="00F1010E"/>
    <w:rsid w:val="00F12D4C"/>
    <w:rsid w:val="00F40C7F"/>
    <w:rsid w:val="00F5501B"/>
    <w:rsid w:val="00F5550B"/>
    <w:rsid w:val="00F664DB"/>
    <w:rsid w:val="00F6774C"/>
    <w:rsid w:val="00F67E90"/>
    <w:rsid w:val="00F7460B"/>
    <w:rsid w:val="00F75455"/>
    <w:rsid w:val="00F85DC9"/>
    <w:rsid w:val="00F961C8"/>
    <w:rsid w:val="00FA45D5"/>
    <w:rsid w:val="00FD203C"/>
    <w:rsid w:val="00FD2479"/>
    <w:rsid w:val="00FD25D5"/>
    <w:rsid w:val="00FF4DB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159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15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9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A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A24"/>
    <w:rPr>
      <w:rFonts w:ascii="Calibri" w:eastAsia="Calibri" w:hAnsi="Calibri" w:cs="Times New Roman"/>
    </w:rPr>
  </w:style>
  <w:style w:type="paragraph" w:customStyle="1" w:styleId="Default">
    <w:name w:val="Default"/>
    <w:rsid w:val="00683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3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223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4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mall-text1">
    <w:name w:val="small-text1"/>
    <w:basedOn w:val="a0"/>
    <w:rsid w:val="00F7460B"/>
    <w:rPr>
      <w:sz w:val="20"/>
      <w:szCs w:val="20"/>
    </w:rPr>
  </w:style>
  <w:style w:type="character" w:styleId="a9">
    <w:name w:val="Emphasis"/>
    <w:basedOn w:val="a0"/>
    <w:uiPriority w:val="20"/>
    <w:qFormat/>
    <w:rsid w:val="0027629C"/>
    <w:rPr>
      <w:i/>
      <w:iCs/>
    </w:rPr>
  </w:style>
  <w:style w:type="character" w:styleId="aa">
    <w:name w:val="Strong"/>
    <w:basedOn w:val="a0"/>
    <w:uiPriority w:val="22"/>
    <w:qFormat/>
    <w:rsid w:val="0027629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9C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6B52C5"/>
    <w:rPr>
      <w:color w:val="0000FF" w:themeColor="hyperlink"/>
      <w:u w:val="single"/>
    </w:rPr>
  </w:style>
  <w:style w:type="character" w:customStyle="1" w:styleId="small-text">
    <w:name w:val="small-text"/>
    <w:basedOn w:val="a0"/>
    <w:rsid w:val="006B52C5"/>
  </w:style>
  <w:style w:type="character" w:customStyle="1" w:styleId="rvts15">
    <w:name w:val="rvts15"/>
    <w:basedOn w:val="a0"/>
    <w:rsid w:val="00C95DB5"/>
  </w:style>
  <w:style w:type="character" w:customStyle="1" w:styleId="rvts46">
    <w:name w:val="rvts46"/>
    <w:basedOn w:val="a0"/>
    <w:rsid w:val="00C95DB5"/>
  </w:style>
  <w:style w:type="character" w:customStyle="1" w:styleId="rvts0">
    <w:name w:val="rvts0"/>
    <w:basedOn w:val="a0"/>
    <w:rsid w:val="00EA308B"/>
  </w:style>
  <w:style w:type="character" w:customStyle="1" w:styleId="rvts23">
    <w:name w:val="rvts23"/>
    <w:basedOn w:val="a0"/>
    <w:rsid w:val="00EA308B"/>
  </w:style>
  <w:style w:type="character" w:customStyle="1" w:styleId="rvts64">
    <w:name w:val="rvts64"/>
    <w:basedOn w:val="a0"/>
    <w:rsid w:val="00EA308B"/>
  </w:style>
  <w:style w:type="character" w:customStyle="1" w:styleId="rvts9">
    <w:name w:val="rvts9"/>
    <w:basedOn w:val="a0"/>
    <w:rsid w:val="00EA308B"/>
  </w:style>
  <w:style w:type="character" w:customStyle="1" w:styleId="rvts11">
    <w:name w:val="rvts11"/>
    <w:basedOn w:val="a0"/>
    <w:rsid w:val="00EA308B"/>
  </w:style>
  <w:style w:type="character" w:customStyle="1" w:styleId="rvts52">
    <w:name w:val="rvts52"/>
    <w:basedOn w:val="a0"/>
    <w:rsid w:val="00EA308B"/>
  </w:style>
  <w:style w:type="character" w:customStyle="1" w:styleId="rvts44">
    <w:name w:val="rvts44"/>
    <w:basedOn w:val="a0"/>
    <w:rsid w:val="00EA308B"/>
  </w:style>
  <w:style w:type="character" w:customStyle="1" w:styleId="rvts37">
    <w:name w:val="rvts37"/>
    <w:basedOn w:val="a0"/>
    <w:rsid w:val="00EA308B"/>
  </w:style>
  <w:style w:type="character" w:customStyle="1" w:styleId="rvts40">
    <w:name w:val="rvts40"/>
    <w:basedOn w:val="a0"/>
    <w:rsid w:val="00EA30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5D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5D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D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5D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filterheader">
    <w:name w:val="b-filter__header"/>
    <w:basedOn w:val="a0"/>
    <w:rsid w:val="00F5501B"/>
  </w:style>
  <w:style w:type="character" w:customStyle="1" w:styleId="b-filter-listcount">
    <w:name w:val="b-filter-list__count"/>
    <w:basedOn w:val="a0"/>
    <w:rsid w:val="00F5501B"/>
  </w:style>
  <w:style w:type="character" w:customStyle="1" w:styleId="b-groups-listcounter">
    <w:name w:val="b-groups-list__counter"/>
    <w:basedOn w:val="a0"/>
    <w:rsid w:val="00F5501B"/>
  </w:style>
  <w:style w:type="character" w:customStyle="1" w:styleId="b-navcounter">
    <w:name w:val="b-nav__counter"/>
    <w:basedOn w:val="a0"/>
    <w:rsid w:val="00F5501B"/>
  </w:style>
  <w:style w:type="character" w:customStyle="1" w:styleId="b-docs-availability">
    <w:name w:val="b-docs-availability"/>
    <w:basedOn w:val="a0"/>
    <w:rsid w:val="00F5501B"/>
  </w:style>
  <w:style w:type="character" w:customStyle="1" w:styleId="notranslate">
    <w:name w:val="notranslate"/>
    <w:basedOn w:val="a0"/>
    <w:rsid w:val="00F5501B"/>
  </w:style>
  <w:style w:type="character" w:customStyle="1" w:styleId="b-contact-infocomma">
    <w:name w:val="b-contact-info__comma"/>
    <w:basedOn w:val="a0"/>
    <w:rsid w:val="00F5501B"/>
  </w:style>
  <w:style w:type="character" w:customStyle="1" w:styleId="b-contact-inforow">
    <w:name w:val="b-contact-info__row"/>
    <w:basedOn w:val="a0"/>
    <w:rsid w:val="00F5501B"/>
  </w:style>
  <w:style w:type="paragraph" w:styleId="HTML">
    <w:name w:val="HTML Address"/>
    <w:basedOn w:val="a"/>
    <w:link w:val="HTML0"/>
    <w:uiPriority w:val="99"/>
    <w:semiHidden/>
    <w:unhideWhenUsed/>
    <w:rsid w:val="00F5501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550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vps1">
    <w:name w:val="rvps1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1">
    <w:name w:val="rvps11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159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15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9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A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A24"/>
    <w:rPr>
      <w:rFonts w:ascii="Calibri" w:eastAsia="Calibri" w:hAnsi="Calibri" w:cs="Times New Roman"/>
    </w:rPr>
  </w:style>
  <w:style w:type="paragraph" w:customStyle="1" w:styleId="Default">
    <w:name w:val="Default"/>
    <w:rsid w:val="00683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3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223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4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mall-text1">
    <w:name w:val="small-text1"/>
    <w:basedOn w:val="a0"/>
    <w:rsid w:val="00F7460B"/>
    <w:rPr>
      <w:sz w:val="20"/>
      <w:szCs w:val="20"/>
    </w:rPr>
  </w:style>
  <w:style w:type="character" w:styleId="a9">
    <w:name w:val="Emphasis"/>
    <w:basedOn w:val="a0"/>
    <w:uiPriority w:val="20"/>
    <w:qFormat/>
    <w:rsid w:val="0027629C"/>
    <w:rPr>
      <w:i/>
      <w:iCs/>
    </w:rPr>
  </w:style>
  <w:style w:type="character" w:styleId="aa">
    <w:name w:val="Strong"/>
    <w:basedOn w:val="a0"/>
    <w:uiPriority w:val="22"/>
    <w:qFormat/>
    <w:rsid w:val="0027629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9C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6B52C5"/>
    <w:rPr>
      <w:color w:val="0000FF" w:themeColor="hyperlink"/>
      <w:u w:val="single"/>
    </w:rPr>
  </w:style>
  <w:style w:type="character" w:customStyle="1" w:styleId="small-text">
    <w:name w:val="small-text"/>
    <w:basedOn w:val="a0"/>
    <w:rsid w:val="006B52C5"/>
  </w:style>
  <w:style w:type="character" w:customStyle="1" w:styleId="rvts15">
    <w:name w:val="rvts15"/>
    <w:basedOn w:val="a0"/>
    <w:rsid w:val="00C95DB5"/>
  </w:style>
  <w:style w:type="character" w:customStyle="1" w:styleId="rvts46">
    <w:name w:val="rvts46"/>
    <w:basedOn w:val="a0"/>
    <w:rsid w:val="00C95DB5"/>
  </w:style>
  <w:style w:type="character" w:customStyle="1" w:styleId="rvts0">
    <w:name w:val="rvts0"/>
    <w:basedOn w:val="a0"/>
    <w:rsid w:val="00EA308B"/>
  </w:style>
  <w:style w:type="character" w:customStyle="1" w:styleId="rvts23">
    <w:name w:val="rvts23"/>
    <w:basedOn w:val="a0"/>
    <w:rsid w:val="00EA308B"/>
  </w:style>
  <w:style w:type="character" w:customStyle="1" w:styleId="rvts64">
    <w:name w:val="rvts64"/>
    <w:basedOn w:val="a0"/>
    <w:rsid w:val="00EA308B"/>
  </w:style>
  <w:style w:type="character" w:customStyle="1" w:styleId="rvts9">
    <w:name w:val="rvts9"/>
    <w:basedOn w:val="a0"/>
    <w:rsid w:val="00EA308B"/>
  </w:style>
  <w:style w:type="character" w:customStyle="1" w:styleId="rvts11">
    <w:name w:val="rvts11"/>
    <w:basedOn w:val="a0"/>
    <w:rsid w:val="00EA308B"/>
  </w:style>
  <w:style w:type="character" w:customStyle="1" w:styleId="rvts52">
    <w:name w:val="rvts52"/>
    <w:basedOn w:val="a0"/>
    <w:rsid w:val="00EA308B"/>
  </w:style>
  <w:style w:type="character" w:customStyle="1" w:styleId="rvts44">
    <w:name w:val="rvts44"/>
    <w:basedOn w:val="a0"/>
    <w:rsid w:val="00EA308B"/>
  </w:style>
  <w:style w:type="character" w:customStyle="1" w:styleId="rvts37">
    <w:name w:val="rvts37"/>
    <w:basedOn w:val="a0"/>
    <w:rsid w:val="00EA308B"/>
  </w:style>
  <w:style w:type="character" w:customStyle="1" w:styleId="rvts40">
    <w:name w:val="rvts40"/>
    <w:basedOn w:val="a0"/>
    <w:rsid w:val="00EA30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5D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5D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D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5D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filterheader">
    <w:name w:val="b-filter__header"/>
    <w:basedOn w:val="a0"/>
    <w:rsid w:val="00F5501B"/>
  </w:style>
  <w:style w:type="character" w:customStyle="1" w:styleId="b-filter-listcount">
    <w:name w:val="b-filter-list__count"/>
    <w:basedOn w:val="a0"/>
    <w:rsid w:val="00F5501B"/>
  </w:style>
  <w:style w:type="character" w:customStyle="1" w:styleId="b-groups-listcounter">
    <w:name w:val="b-groups-list__counter"/>
    <w:basedOn w:val="a0"/>
    <w:rsid w:val="00F5501B"/>
  </w:style>
  <w:style w:type="character" w:customStyle="1" w:styleId="b-navcounter">
    <w:name w:val="b-nav__counter"/>
    <w:basedOn w:val="a0"/>
    <w:rsid w:val="00F5501B"/>
  </w:style>
  <w:style w:type="character" w:customStyle="1" w:styleId="b-docs-availability">
    <w:name w:val="b-docs-availability"/>
    <w:basedOn w:val="a0"/>
    <w:rsid w:val="00F5501B"/>
  </w:style>
  <w:style w:type="character" w:customStyle="1" w:styleId="notranslate">
    <w:name w:val="notranslate"/>
    <w:basedOn w:val="a0"/>
    <w:rsid w:val="00F5501B"/>
  </w:style>
  <w:style w:type="character" w:customStyle="1" w:styleId="b-contact-infocomma">
    <w:name w:val="b-contact-info__comma"/>
    <w:basedOn w:val="a0"/>
    <w:rsid w:val="00F5501B"/>
  </w:style>
  <w:style w:type="character" w:customStyle="1" w:styleId="b-contact-inforow">
    <w:name w:val="b-contact-info__row"/>
    <w:basedOn w:val="a0"/>
    <w:rsid w:val="00F5501B"/>
  </w:style>
  <w:style w:type="paragraph" w:styleId="HTML">
    <w:name w:val="HTML Address"/>
    <w:basedOn w:val="a"/>
    <w:link w:val="HTML0"/>
    <w:uiPriority w:val="99"/>
    <w:semiHidden/>
    <w:unhideWhenUsed/>
    <w:rsid w:val="00F5501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550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vps1">
    <w:name w:val="rvps1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1">
    <w:name w:val="rvps11"/>
    <w:basedOn w:val="a"/>
    <w:rsid w:val="00980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69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25305207">
                  <w:marLeft w:val="-75"/>
                  <w:marRight w:val="-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2474B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71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15984378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F0F0F0"/>
                                    <w:left w:val="single" w:sz="12" w:space="31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6153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68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379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69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24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5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542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8ED8-A20F-4FA7-B809-CCBCA9B2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Svet Shahtera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Мирохина Валентина Ивановна</dc:creator>
  <cp:keywords/>
  <dc:description/>
  <cp:lastModifiedBy>Мирохина Валентина Ивановна</cp:lastModifiedBy>
  <cp:revision>3</cp:revision>
  <cp:lastPrinted>2017-03-20T07:24:00Z</cp:lastPrinted>
  <dcterms:created xsi:type="dcterms:W3CDTF">2018-06-13T08:51:00Z</dcterms:created>
  <dcterms:modified xsi:type="dcterms:W3CDTF">2018-06-13T08:53:00Z</dcterms:modified>
</cp:coreProperties>
</file>